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Objetivos SC-H1-v2026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Dirigido a</w:t>
      </w:r>
      <w:r>
        <w:t xml:space="preserve"> </w:t>
      </w:r>
      <w:r>
        <w:rPr>
          <w:b/>
          <w:bCs/>
        </w:rPr>
        <w:t xml:space="preserve">neurocirujanos, neurólogos, intensivistas, anestesiólogos y personal de enfermería</w:t>
      </w:r>
      <w:r>
        <w:t xml:space="preserve"> </w:t>
      </w:r>
      <w:r>
        <w:t xml:space="preserve">implicados en el manejo de pacientes con patología neurológica y neuroquirúrgica, este curso tiene como objetivo general actualizar, de forma rigurosa y orientada a la práctica clínica, los conocimientos sobre la hidrocefalia y la dinámica del líquido cefalorraquídeo (LCR). Asimismo, pretende proporcionar herramientas que permitan abordar las preguntas clínicas que surgen en la práctica diaria y facilitar la integración efectiva de estos conocimientos en la actividad asistencial.</w:t>
      </w:r>
    </w:p>
    <w:bookmarkStart w:id="9" w:name="objetivo-general"/>
    <w:p>
      <w:pPr>
        <w:pStyle w:val="Heading2"/>
      </w:pPr>
      <w:r>
        <w:t xml:space="preserve">1 Objetivo general</w:t>
      </w:r>
    </w:p>
    <w:p>
      <w:pPr>
        <w:pStyle w:val="FirstParagraph"/>
      </w:pPr>
      <w:r>
        <w:t xml:space="preserve">Desarrollar una comprensión avanzada e integrada del sistema del LCR y de la dinámica craneo-espinal, que permita interpretar de forma crítica la presión intracraneal (PIC) y otros parámetros fisiológicos, y aplicarlos al razonamiento clínico experto en pacientes con alteraciones de la dinámica del LCR.</w:t>
      </w:r>
    </w:p>
    <w:bookmarkEnd w:id="9"/>
    <w:bookmarkStart w:id="16" w:name="competencias-y-resultados-de-aprendizaje"/>
    <w:p>
      <w:pPr>
        <w:pStyle w:val="Heading2"/>
      </w:pPr>
      <w:r>
        <w:t xml:space="preserve">2 Competencias y resultados de aprendizaje</w:t>
      </w:r>
    </w:p>
    <w:p>
      <w:pPr>
        <w:pStyle w:val="FirstParagraph"/>
      </w:pPr>
      <w:r>
        <w:t xml:space="preserve">Al finalizar el curso SC-H1-v2026, el participante será capaz de:</w:t>
      </w:r>
    </w:p>
    <w:bookmarkStart w:id="10" w:name="conocimientos"/>
    <w:p>
      <w:pPr>
        <w:pStyle w:val="Heading3"/>
      </w:pPr>
      <w:r>
        <w:t xml:space="preserve">2.1 Conocimientos</w:t>
      </w:r>
    </w:p>
    <w:p>
      <w:pPr>
        <w:numPr>
          <w:ilvl w:val="0"/>
          <w:numId w:val="1001"/>
        </w:numPr>
      </w:pPr>
      <w:r>
        <w:t xml:space="preserve">Describir la anatomía y fisiología del sistema del LCR, incluyendo los mecanismos de producción, circulación y reabsorción, así como las teorías actuales sobre el sistema glinfático.</w:t>
      </w:r>
    </w:p>
    <w:p>
      <w:pPr>
        <w:numPr>
          <w:ilvl w:val="0"/>
          <w:numId w:val="1001"/>
        </w:numPr>
      </w:pPr>
      <w:r>
        <w:t xml:space="preserve">Explicar la relación entre presión, volumen y</w:t>
      </w:r>
      <w:r>
        <w:t xml:space="preserve"> </w:t>
      </w:r>
      <w:r>
        <w:rPr>
          <w:i/>
          <w:iCs/>
        </w:rPr>
        <w:t xml:space="preserve">compliance</w:t>
      </w:r>
      <w:r>
        <w:t xml:space="preserve"> </w:t>
      </w:r>
      <w:r>
        <w:t xml:space="preserve">intracraneal, integrando la doctrina de Monro‑Kellie con conceptos actuales.</w:t>
      </w:r>
    </w:p>
    <w:p>
      <w:pPr>
        <w:numPr>
          <w:ilvl w:val="0"/>
          <w:numId w:val="1001"/>
        </w:numPr>
      </w:pPr>
      <w:r>
        <w:t xml:space="preserve">Analizar los principales modelos fisiopatológicos de la hidrocefalia, incorporando tanto enfoques clásicos como modelos dinámicos avanzados.</w:t>
      </w:r>
    </w:p>
    <w:p>
      <w:pPr>
        <w:numPr>
          <w:ilvl w:val="0"/>
          <w:numId w:val="1001"/>
        </w:numPr>
      </w:pPr>
      <w:r>
        <w:t xml:space="preserve">Comprender los fundamentos teóricos de la monitorización de la PIC, incluyendo la adquisición y características de la señal.</w:t>
      </w:r>
    </w:p>
    <w:bookmarkEnd w:id="10"/>
    <w:bookmarkStart w:id="11" w:name="habilidades-skills"/>
    <w:p>
      <w:pPr>
        <w:pStyle w:val="Heading3"/>
      </w:pPr>
      <w:r>
        <w:t xml:space="preserve">2.2</w:t>
      </w:r>
      <w:r>
        <w:t xml:space="preserve"> </w:t>
      </w:r>
      <w:r>
        <w:rPr>
          <w:b/>
          <w:bCs/>
        </w:rPr>
        <w:t xml:space="preserve">Habilidades (</w:t>
      </w:r>
      <w:r>
        <w:rPr>
          <w:b/>
          <w:bCs/>
          <w:i/>
          <w:iCs/>
        </w:rPr>
        <w:t xml:space="preserve">Skills</w:t>
      </w:r>
      <w:r>
        <w:rPr>
          <w:b/>
          <w:bCs/>
        </w:rPr>
        <w:t xml:space="preserve">)</w:t>
      </w:r>
    </w:p>
    <w:p>
      <w:pPr>
        <w:numPr>
          <w:ilvl w:val="0"/>
          <w:numId w:val="1002"/>
        </w:numPr>
      </w:pPr>
      <w:r>
        <w:t xml:space="preserve">Interpretar de manera sistemática registros de PIC, incluyendo: valores medios, morfología de la onda (P1, P2, P3), variabilidad temporal y detectar la presencia de ondas lentas.</w:t>
      </w:r>
    </w:p>
    <w:p>
      <w:pPr>
        <w:numPr>
          <w:ilvl w:val="0"/>
          <w:numId w:val="1002"/>
        </w:numPr>
      </w:pPr>
      <w:r>
        <w:t xml:space="preserve">Analizar de forma crítica datos procedentes de monitorización de la PIC, identificando patrones fisiopatológicos relevantes.</w:t>
      </w:r>
    </w:p>
    <w:p>
      <w:pPr>
        <w:numPr>
          <w:ilvl w:val="0"/>
          <w:numId w:val="1002"/>
        </w:numPr>
      </w:pPr>
      <w:r>
        <w:t xml:space="preserve">Integrar parámetros dinámicos (p. ej., amplitud de pulso, índices derivados, resistencia al drenaje) en la evaluación del sistema intracraneal.</w:t>
      </w:r>
    </w:p>
    <w:p>
      <w:pPr>
        <w:numPr>
          <w:ilvl w:val="0"/>
          <w:numId w:val="1002"/>
        </w:numPr>
      </w:pPr>
      <w:r>
        <w:t xml:space="preserve">Elaborar informes estructurados de interpretación de registros de PIC con relevancia fisiopatológica y clínica.</w:t>
      </w:r>
    </w:p>
    <w:p>
      <w:pPr>
        <w:numPr>
          <w:ilvl w:val="0"/>
          <w:numId w:val="1002"/>
        </w:numPr>
      </w:pPr>
      <w:r>
        <w:t xml:space="preserve">Aplicar los conocimientos teóricos en la resolución de problemas clínicos complejos relacionados con la dinámica del LCR.</w:t>
      </w:r>
    </w:p>
    <w:bookmarkEnd w:id="11"/>
    <w:bookmarkStart w:id="15" w:name="competencias-clínicas"/>
    <w:p>
      <w:pPr>
        <w:pStyle w:val="Heading3"/>
      </w:pPr>
      <w:r>
        <w:t xml:space="preserve">2.3 Competencias clínicas</w:t>
      </w:r>
    </w:p>
    <w:p>
      <w:pPr>
        <w:numPr>
          <w:ilvl w:val="0"/>
          <w:numId w:val="1003"/>
        </w:numPr>
      </w:pPr>
      <w:r>
        <w:t xml:space="preserve">Integrar la información fisiopatológica y los datos de monitorización de la PCI en la toma de decisiones diagnósticas y terapéuticas.</w:t>
      </w:r>
    </w:p>
    <w:p>
      <w:pPr>
        <w:numPr>
          <w:ilvl w:val="0"/>
          <w:numId w:val="1003"/>
        </w:numPr>
      </w:pPr>
      <w:r>
        <w:t xml:space="preserve">Valorar de forma crítica la utilidad y las limitaciones de los distintos métodos de evaluación de la dinámica del LCR y la PIC.</w:t>
      </w:r>
    </w:p>
    <w:p>
      <w:pPr>
        <w:numPr>
          <w:ilvl w:val="0"/>
          <w:numId w:val="1003"/>
        </w:numPr>
      </w:pPr>
      <w:r>
        <w:t xml:space="preserve">Aplicar un razonamiento clínico estructurado basado en el eje: volumen-&gt;presión–&gt;compliance–&gt;flujo–&gt;pulsatilidad cerebral.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C:\Users\Sahuquillo\AppData\Local\Programs\Quarto\share\formats\docx\important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Competencias Transversales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numPr>
                <w:ilvl w:val="0"/>
                <w:numId w:val="1004"/>
              </w:numPr>
            </w:pPr>
            <w:r>
              <w:t xml:space="preserve">Analizar críticamente la literatura científica relevante (</w:t>
            </w:r>
            <w:r>
              <w:rPr>
                <w:i/>
                <w:iCs/>
              </w:rPr>
              <w:t xml:space="preserve">Journal Club</w:t>
            </w:r>
            <w:r>
              <w:t xml:space="preserve">) en relación con la dinámica del LCR y la PIC.</w:t>
            </w:r>
          </w:p>
          <w:p>
            <w:pPr>
              <w:numPr>
                <w:ilvl w:val="0"/>
                <w:numId w:val="1004"/>
              </w:numPr>
            </w:pPr>
            <w:r>
              <w:t xml:space="preserve">Identificar limitaciones metodológicas y su impacto en la interpretación fisiopatológica.</w:t>
            </w:r>
          </w:p>
          <w:p>
            <w:pPr>
              <w:numPr>
                <w:ilvl w:val="0"/>
                <w:numId w:val="1004"/>
              </w:numPr>
            </w:pPr>
            <w:r>
              <w:t xml:space="preserve">Integrar la evidencia científica en la toma de decisiones clínicas.</w:t>
            </w:r>
          </w:p>
          <w:p/>
        </w:tc>
      </w:tr>
    </w:tbl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Objetivos SC-H1-v2026</dc:title>
  <dc:creator/>
  <cp:keywords/>
  <dcterms:created xsi:type="dcterms:W3CDTF">2026-06-16T08:14:53Z</dcterms:created>
  <dcterms:modified xsi:type="dcterms:W3CDTF">2026-06-16T08:14:53Z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